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rsidR="0012099F" w:rsidRPr="007726DC" w:rsidRDefault="0012099F" w:rsidP="0012099F">
      <w:pPr>
        <w:pStyle w:val="Title"/>
        <w:jc w:val="center"/>
        <w:rPr>
          <w:rStyle w:val="BookTitle"/>
          <w:rFonts w:ascii="Times New Roman" w:hAnsi="Times New Roman" w:cs="Times New Roman"/>
          <w:i w:val="0"/>
          <w:sz w:val="3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rsidR="0012099F" w:rsidRPr="007726DC" w:rsidRDefault="0012099F" w:rsidP="0012099F">
      <w:pPr>
        <w:pBdr>
          <w:bottom w:val="single" w:sz="4" w:space="1" w:color="auto"/>
        </w:pBdr>
        <w:jc w:val="both"/>
        <w:rPr>
          <w:rFonts w:ascii="Times New Roman" w:hAnsi="Times New Roman" w:cs="Times New Roman"/>
          <w:b/>
        </w:rPr>
      </w:pPr>
    </w:p>
    <w:p w:rsidR="0012099F" w:rsidRPr="007726DC" w:rsidRDefault="0012099F" w:rsidP="0012099F">
      <w:pPr>
        <w:ind w:firstLine="709"/>
        <w:jc w:val="right"/>
        <w:rPr>
          <w:rFonts w:ascii="Times New Roman" w:hAnsi="Times New Roman" w:cs="Times New Roman"/>
          <w:b/>
        </w:rPr>
      </w:pPr>
    </w:p>
    <w:p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rsidR="004E7513" w:rsidRDefault="0012099F" w:rsidP="0012099F">
      <w:pPr>
        <w:pStyle w:val="Heading1"/>
        <w:numPr>
          <w:ilvl w:val="0"/>
          <w:numId w:val="1"/>
        </w:numPr>
        <w:jc w:val="both"/>
      </w:pPr>
      <w:r>
        <w:lastRenderedPageBreak/>
        <w:t>Introduction</w:t>
      </w:r>
    </w:p>
    <w:p w:rsidR="00533155" w:rsidRDefault="00533155" w:rsidP="0012099F">
      <w:pPr>
        <w:jc w:val="both"/>
      </w:pPr>
    </w:p>
    <w:p w:rsidR="00533155" w:rsidRDefault="00533155" w:rsidP="00533155">
      <w:pPr>
        <w:jc w:val="both"/>
      </w:pPr>
      <w:r>
        <w:t>Through urban computing and analytics, a lot of effort is being directed towards producing a Digital City, were most of its components can be sensed, analysed, predicted and thus induced (Batty et al, 2012). For cultural and societal information this is a more nuanced and complex process.</w:t>
      </w:r>
    </w:p>
    <w:p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enhanced social capital, mood and contribute to identity formation (Webster et al, 2017).</w:t>
      </w:r>
    </w:p>
    <w:p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rsidR="00533155" w:rsidRDefault="00533155" w:rsidP="00533155">
      <w:pPr>
        <w:jc w:val="both"/>
      </w:pPr>
      <w: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533155" w:rsidRDefault="00533155" w:rsidP="00533155">
      <w:pPr>
        <w:jc w:val="both"/>
      </w:pPr>
      <w:r>
        <w:t xml:space="preserve">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Approaching this objective in a systematic way generates the perfect opportunity to study these events. This project is a milestone in this research domain and therefore will contribute in generating a detail dataset of the locations of the gigs and analysing </w:t>
      </w:r>
      <w:r>
        <w:t>its</w:t>
      </w:r>
      <w:r>
        <w:t xml:space="preserve"> spatial distribution.</w:t>
      </w:r>
    </w:p>
    <w:p w:rsidR="00533155" w:rsidRDefault="00533155" w:rsidP="00533155">
      <w:pPr>
        <w:jc w:val="both"/>
      </w:pPr>
      <w:r>
        <w:lastRenderedPageBreak/>
        <w:t>In the following section a brief literature review of the importance and how other researches have intended to study the subject, will be found. Section 2 will clearly state the objectives of 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12099F" w:rsidRDefault="0012099F" w:rsidP="0012099F">
      <w:pPr>
        <w:pStyle w:val="Heading2"/>
        <w:numPr>
          <w:ilvl w:val="1"/>
          <w:numId w:val="1"/>
        </w:numPr>
        <w:jc w:val="both"/>
      </w:pPr>
      <w:r>
        <w:t>Research Objectives</w:t>
      </w:r>
    </w:p>
    <w:p w:rsidR="0012099F" w:rsidRDefault="0012099F" w:rsidP="0012099F">
      <w:pPr>
        <w:jc w:val="both"/>
      </w:pPr>
      <w:r>
        <w:t xml:space="preserve">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12099F" w:rsidRDefault="0012099F" w:rsidP="0012099F">
      <w:pPr>
        <w:jc w:val="both"/>
      </w:pPr>
      <w:r>
        <w:t xml:space="preserve">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12099F" w:rsidRDefault="0012099F" w:rsidP="0012099F">
      <w:pPr>
        <w:jc w:val="both"/>
      </w:pPr>
      <w:r>
        <w:t>In sum, by providing a systematic approach towards the data collection, visualization and analysis, this research pretends to create a baseline towards a better understanding of the importance of the live events.</w:t>
      </w:r>
    </w:p>
    <w:p w:rsidR="0012099F" w:rsidRDefault="0012099F" w:rsidP="0012099F">
      <w:pPr>
        <w:pStyle w:val="Heading1"/>
        <w:numPr>
          <w:ilvl w:val="0"/>
          <w:numId w:val="1"/>
        </w:numPr>
      </w:pPr>
      <w:r>
        <w:t>Literature Review</w:t>
      </w:r>
    </w:p>
    <w:p w:rsidR="00533155" w:rsidRDefault="00533155" w:rsidP="00533155">
      <w:pPr>
        <w:jc w:val="both"/>
      </w:pPr>
      <w:r>
        <w:t xml:space="preserve">The cluster analysis of the gig distribution by music genre will use a similar method to Dennett and Page’s (2017) paper. Similarly to that paper we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w:t>
      </w:r>
      <w:r>
        <w:t xml:space="preserve"> be covered in the methodology.</w:t>
      </w:r>
    </w:p>
    <w:p w:rsidR="00533155" w:rsidRDefault="00533155" w:rsidP="00533155">
      <w:pPr>
        <w:jc w:val="both"/>
      </w:pPr>
      <w:r>
        <w:t xml:space="preserve">The correctness of the clusters, a rating of their density and tightness will be found using the Python’s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w:t>
      </w:r>
      <w:r>
        <w:t>st have led to this clustering.</w:t>
      </w:r>
    </w:p>
    <w:p w:rsidR="00533155" w:rsidRDefault="00533155" w:rsidP="00533155">
      <w:pPr>
        <w:jc w:val="both"/>
      </w:pPr>
      <w:r>
        <w:t>Moreover, from Regional and Economics theory, there is evidence that supports and explains why some business and economic activities tend to cluster themselves (Krugman, 1991). As he explains in his pioneering work, as more businesses of the same kind start to agglomerate, they start to enjoy a set of benefits and spill overs that generate positive economics of scale. In particular these are known as Agglomeration Economics.  Although, at this point there is no evidence to support that musical events are benefiting from clustering, to understand these drivers is a complex research question out of the scope of this study.</w:t>
      </w:r>
    </w:p>
    <w:p w:rsidR="00533155" w:rsidRDefault="00533155" w:rsidP="00533155">
      <w:pPr>
        <w:jc w:val="both"/>
      </w:pPr>
      <w:r>
        <w:t>Having said this, the first step towards researching in this direction, is to detect the existen</w:t>
      </w:r>
      <w:r>
        <w:t>ce of any spatial distribution.</w:t>
      </w:r>
    </w:p>
    <w:p w:rsidR="00533155" w:rsidRDefault="00533155" w:rsidP="00533155">
      <w:pPr>
        <w:jc w:val="both"/>
      </w:pPr>
      <w:r>
        <w:lastRenderedPageBreak/>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software. Among the different vast amount of work done trying to identify spatial patterns, this research project will adapt and follow the methodologies used to explain how the space could affect the risk of obesity (Huang et al, 2015). This is because the clarity and the fact that restaurants, and venues hosting gigs, might share some similarities. In this research it is shown how Moran’s I can be comparable to spatial scan and how the strength of spatial relation loses power as other v</w:t>
      </w:r>
      <w:r>
        <w:t>ariables as taken into account.</w:t>
      </w:r>
    </w:p>
    <w:p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w:t>
      </w:r>
      <w:r>
        <w:t>nship (Rothenberg et al, 2017).</w:t>
      </w:r>
    </w:p>
    <w:p w:rsidR="00160E0A" w:rsidRDefault="00533155" w:rsidP="00533155">
      <w:pPr>
        <w:jc w:val="both"/>
      </w:pPr>
      <w:r>
        <w:t xml:space="preserve">Finally, </w:t>
      </w:r>
      <w:proofErr w:type="spellStart"/>
      <w:r>
        <w:t>Guo</w:t>
      </w:r>
      <w:proofErr w:type="spellEnd"/>
      <w:r>
        <w:t xml:space="preserve"> et al. (2013) present a novel methodology to establish the spatial relationship between point and polygons. The methodology presented in this case could have the potential to expand the research presented in this paper.  </w:t>
      </w:r>
    </w:p>
    <w:p w:rsidR="005C60E8" w:rsidRDefault="005C60E8" w:rsidP="005C60E8">
      <w:pPr>
        <w:pStyle w:val="Heading1"/>
        <w:numPr>
          <w:ilvl w:val="0"/>
          <w:numId w:val="1"/>
        </w:numPr>
      </w:pPr>
      <w:r>
        <w:t>Web Development</w:t>
      </w:r>
    </w:p>
    <w:p w:rsidR="005C60E8" w:rsidRDefault="005C60E8" w:rsidP="005C60E8">
      <w:pPr>
        <w:jc w:val="both"/>
      </w:pPr>
      <w:r>
        <w:t>……………………………………</w:t>
      </w:r>
    </w:p>
    <w:p w:rsidR="005C60E8" w:rsidRDefault="005C60E8" w:rsidP="005C60E8">
      <w:pPr>
        <w:jc w:val="both"/>
      </w:pPr>
    </w:p>
    <w:p w:rsidR="005C60E8" w:rsidRDefault="005C60E8" w:rsidP="005C60E8">
      <w:pPr>
        <w:jc w:val="both"/>
      </w:pPr>
    </w:p>
    <w:p w:rsidR="005C60E8" w:rsidRDefault="005C60E8" w:rsidP="005C60E8">
      <w:pPr>
        <w:jc w:val="both"/>
      </w:pPr>
      <w:r>
        <w:t>……………………………………….</w:t>
      </w:r>
    </w:p>
    <w:p w:rsidR="005C60E8" w:rsidRDefault="005C60E8" w:rsidP="005C60E8">
      <w:pPr>
        <w:pStyle w:val="Heading1"/>
        <w:numPr>
          <w:ilvl w:val="0"/>
          <w:numId w:val="1"/>
        </w:numPr>
      </w:pPr>
      <w:r>
        <w:t>Analysis</w:t>
      </w:r>
    </w:p>
    <w:p w:rsidR="00533155" w:rsidRDefault="00533155" w:rsidP="00533155">
      <w:pPr>
        <w:pStyle w:val="Heading2"/>
        <w:numPr>
          <w:ilvl w:val="1"/>
          <w:numId w:val="1"/>
        </w:numPr>
      </w:pPr>
      <w:r>
        <w:t>The data set</w:t>
      </w:r>
    </w:p>
    <w:p w:rsidR="00160E0A" w:rsidRDefault="002643FA" w:rsidP="002643FA">
      <w:pPr>
        <w:jc w:val="both"/>
      </w:pPr>
      <w:r w:rsidRPr="002643FA">
        <w:t xml:space="preserve">As described above, the main source of information of the realization of this project was </w:t>
      </w:r>
      <w:proofErr w:type="spellStart"/>
      <w:r w:rsidRPr="002643FA">
        <w:t>SongsKick</w:t>
      </w:r>
      <w:proofErr w:type="spellEnd"/>
      <w:r w:rsidRPr="002643FA">
        <w:t xml:space="preserve">, which was accessed using an API. From this site we were able to retrieve information about the venues and the bands that were playing in that week. Although, there was information about the gig, it was complemented by using </w:t>
      </w:r>
      <w:proofErr w:type="spellStart"/>
      <w:r w:rsidRPr="002643FA">
        <w:t>Spotifys</w:t>
      </w:r>
      <w:proofErr w:type="spellEnd"/>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rsidR="00533155" w:rsidRDefault="002643FA" w:rsidP="00533155">
      <w:pPr>
        <w:jc w:val="both"/>
      </w:pPr>
      <w:r>
        <w:t xml:space="preserve">By developing and deploying a set of routines to be executed every day for a month, we were able to build a rich dataset, of the gigs in London and other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 could be retrieved for a different set of cities. This information and all the processes here explained and used form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rsidR="00533155" w:rsidRDefault="00533155" w:rsidP="00533155">
      <w:pPr>
        <w:pStyle w:val="Heading2"/>
        <w:numPr>
          <w:ilvl w:val="1"/>
          <w:numId w:val="1"/>
        </w:numPr>
      </w:pPr>
      <w:r>
        <w:t>London’s music environment</w:t>
      </w:r>
    </w:p>
    <w:p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533155">
        <w:t xml:space="preserve"> and a</w:t>
      </w:r>
      <w:r w:rsidR="00186FD7">
        <w:t xml:space="preserve">s expected, as the weekday approaches to the weekend, the average amount of gigs increases. On average, Fridays host the most events (100), followed by Saturdays with 96. On average, Sunday were less active than the Thursdays by almost 10 gigs. The following graph shows these results. </w:t>
      </w:r>
    </w:p>
    <w:p w:rsidR="00186FD7" w:rsidRDefault="00186FD7" w:rsidP="00533155">
      <w:pPr>
        <w:jc w:val="both"/>
      </w:pPr>
    </w:p>
    <w:p w:rsidR="00186FD7" w:rsidRDefault="00186FD7" w:rsidP="00533155">
      <w:pPr>
        <w:jc w:val="both"/>
      </w:pPr>
    </w:p>
    <w:p w:rsidR="00186FD7" w:rsidRDefault="00186FD7" w:rsidP="00533155">
      <w:pPr>
        <w:jc w:val="both"/>
      </w:pPr>
    </w:p>
    <w:p w:rsidR="00186FD7" w:rsidRDefault="00186FD7" w:rsidP="00533155">
      <w:pPr>
        <w:jc w:val="both"/>
      </w:pPr>
    </w:p>
    <w:p w:rsidR="00186FD7" w:rsidRDefault="00186FD7" w:rsidP="00533155">
      <w:pPr>
        <w:jc w:val="both"/>
      </w:pPr>
    </w:p>
    <w:tbl>
      <w:tblPr>
        <w:tblStyle w:val="TableGrid"/>
        <w:tblW w:w="0" w:type="auto"/>
        <w:tblLook w:val="04A0" w:firstRow="1" w:lastRow="0" w:firstColumn="1" w:lastColumn="0" w:noHBand="0" w:noVBand="1"/>
      </w:tblPr>
      <w:tblGrid>
        <w:gridCol w:w="8494"/>
      </w:tblGrid>
      <w:tr w:rsidR="00186FD7" w:rsidTr="00186FD7">
        <w:tc>
          <w:tcPr>
            <w:tcW w:w="8494" w:type="dxa"/>
          </w:tcPr>
          <w:p w:rsidR="00186FD7" w:rsidRDefault="00186FD7" w:rsidP="00533155">
            <w:pPr>
              <w:jc w:val="both"/>
            </w:pPr>
          </w:p>
        </w:tc>
      </w:tr>
      <w:tr w:rsidR="00186FD7" w:rsidTr="00186FD7">
        <w:tc>
          <w:tcPr>
            <w:tcW w:w="8494" w:type="dxa"/>
          </w:tcPr>
          <w:p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9" cy="2425790"/>
                          </a:xfrm>
                          <a:prstGeom prst="rect">
                            <a:avLst/>
                          </a:prstGeom>
                        </pic:spPr>
                      </pic:pic>
                    </a:graphicData>
                  </a:graphic>
                </wp:inline>
              </w:drawing>
            </w:r>
          </w:p>
        </w:tc>
      </w:tr>
      <w:tr w:rsidR="00186FD7" w:rsidTr="00186FD7">
        <w:tc>
          <w:tcPr>
            <w:tcW w:w="8494" w:type="dxa"/>
          </w:tcPr>
          <w:p w:rsidR="00186FD7" w:rsidRDefault="00186FD7" w:rsidP="003E551D">
            <w:pPr>
              <w:keepNext/>
              <w:jc w:val="both"/>
            </w:pPr>
          </w:p>
        </w:tc>
      </w:tr>
    </w:tbl>
    <w:p w:rsidR="003E551D" w:rsidRDefault="003E551D">
      <w:pPr>
        <w:pStyle w:val="Caption"/>
      </w:pPr>
      <w:r>
        <w:t xml:space="preserve">Figure </w:t>
      </w:r>
      <w:r>
        <w:fldChar w:fldCharType="begin"/>
      </w:r>
      <w:r>
        <w:instrText xml:space="preserve"> SEQ Figure \* ARABIC </w:instrText>
      </w:r>
      <w:r>
        <w:fldChar w:fldCharType="separate"/>
      </w:r>
      <w:r>
        <w:rPr>
          <w:noProof/>
        </w:rPr>
        <w:t>1</w:t>
      </w:r>
      <w:r>
        <w:fldChar w:fldCharType="end"/>
      </w:r>
      <w:r>
        <w:t>: Distribution of Gigs by days</w:t>
      </w:r>
    </w:p>
    <w:p w:rsidR="0081431F" w:rsidRDefault="00186FD7" w:rsidP="00533155">
      <w:pPr>
        <w:jc w:val="both"/>
      </w:pPr>
      <w:proofErr w:type="gramStart"/>
      <w:r>
        <w:t>during</w:t>
      </w:r>
      <w:proofErr w:type="gramEnd"/>
      <w:r>
        <w:t xml:space="preserve"> the weekend the amount of gigs </w:t>
      </w:r>
      <w:proofErr w:type="spellStart"/>
      <w:r>
        <w:t>i</w:t>
      </w:r>
      <w:proofErr w:type="spellEnd"/>
    </w:p>
    <w:p w:rsidR="00533155" w:rsidRDefault="00533155" w:rsidP="00533155">
      <w:pPr>
        <w:jc w:val="both"/>
      </w:pPr>
    </w:p>
    <w:p w:rsidR="00533155" w:rsidRDefault="00186FD7" w:rsidP="00533155">
      <w:pPr>
        <w:jc w:val="both"/>
      </w:pPr>
      <w:r>
        <w:t xml:space="preserve">For more information about descriptive statistics about the distribution of the gigs during the week, type of music or the spatial distribution, visit </w:t>
      </w:r>
      <w:r w:rsidRPr="00186FD7">
        <w:t>https://fuinki.netlify.com/about</w:t>
      </w:r>
      <w:r>
        <w:t>.</w:t>
      </w:r>
    </w:p>
    <w:p w:rsidR="0081431F" w:rsidRDefault="0081431F" w:rsidP="002643FA">
      <w:pPr>
        <w:jc w:val="both"/>
      </w:pPr>
    </w:p>
    <w:p w:rsidR="00533155" w:rsidRDefault="00533155" w:rsidP="002643FA">
      <w:pPr>
        <w:jc w:val="both"/>
      </w:pPr>
    </w:p>
    <w:p w:rsidR="00533155" w:rsidRDefault="00533155" w:rsidP="00533155">
      <w:pPr>
        <w:pStyle w:val="Heading1"/>
        <w:numPr>
          <w:ilvl w:val="0"/>
          <w:numId w:val="1"/>
        </w:numPr>
      </w:pPr>
      <w:r>
        <w:t>Methodology</w:t>
      </w:r>
    </w:p>
    <w:p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w:t>
      </w:r>
      <w:r>
        <w:t xml:space="preserve">LISA </w:t>
      </w:r>
      <w:r>
        <w:t xml:space="preserve">Moran’s I and (ii) DB Scan for cluster detection. </w:t>
      </w:r>
    </w:p>
    <w:p w:rsidR="00533155" w:rsidRDefault="00533155" w:rsidP="00533155">
      <w:pPr>
        <w:pStyle w:val="Heading2"/>
        <w:numPr>
          <w:ilvl w:val="1"/>
          <w:numId w:val="1"/>
        </w:numPr>
      </w:pPr>
      <w:r>
        <w:t>LISA: Moran’s I</w:t>
      </w:r>
    </w:p>
    <w:p w:rsidR="00533155" w:rsidRDefault="00533155" w:rsidP="00533155">
      <w:pPr>
        <w:jc w:val="both"/>
      </w:pPr>
      <w:r w:rsidRPr="002643FA">
        <w:t xml:space="preserve">As described above, the main source of information of the realization of this project was </w:t>
      </w:r>
      <w:proofErr w:type="spellStart"/>
      <w:r w:rsidRPr="002643FA">
        <w:t>SongsKick</w:t>
      </w:r>
      <w:proofErr w:type="spellEnd"/>
      <w:r w:rsidRPr="002643FA">
        <w:t>, which</w:t>
      </w:r>
    </w:p>
    <w:p w:rsidR="00533155" w:rsidRDefault="00533155" w:rsidP="00533155">
      <w:pPr>
        <w:pStyle w:val="Heading2"/>
        <w:numPr>
          <w:ilvl w:val="1"/>
          <w:numId w:val="1"/>
        </w:numPr>
      </w:pPr>
      <w:r>
        <w:t>Clustering</w:t>
      </w:r>
    </w:p>
    <w:p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 genres.</w:t>
      </w:r>
    </w:p>
    <w:p w:rsidR="00533155" w:rsidRDefault="00533155" w:rsidP="00533155">
      <w:pPr>
        <w:jc w:val="both"/>
      </w:pPr>
      <w:r>
        <w:t>The minimum sample parameter will be set at 5, assuming that any smaller sample size is not significant enough to be considered a cluster of gigs.</w:t>
      </w:r>
    </w:p>
    <w:p w:rsidR="00533155" w:rsidRDefault="00533155" w:rsidP="00533155">
      <w:pPr>
        <w:jc w:val="both"/>
      </w:pPr>
      <w:r>
        <w:lastRenderedPageBreak/>
        <w:t xml:space="preserve">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as a City. </w:t>
      </w:r>
      <w:r w:rsidRPr="00533155">
        <w:rPr>
          <w:highlight w:val="green"/>
        </w:rPr>
        <w:t>[DO I NEED TO CITE?]</w:t>
      </w:r>
    </w:p>
    <w:p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w:t>
      </w:r>
      <w:bookmarkStart w:id="0" w:name="_GoBack"/>
      <w:bookmarkEnd w:id="0"/>
      <w:r>
        <w:t>munities” there are of each genre.</w:t>
      </w:r>
    </w:p>
    <w:p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rsidR="00533155" w:rsidRDefault="00533155" w:rsidP="00533155">
      <w:pPr>
        <w:jc w:val="both"/>
      </w:pPr>
    </w:p>
    <w:p w:rsidR="00533155" w:rsidRDefault="00533155" w:rsidP="00533155">
      <w:pPr>
        <w:pStyle w:val="Heading1"/>
        <w:numPr>
          <w:ilvl w:val="0"/>
          <w:numId w:val="1"/>
        </w:numPr>
      </w:pPr>
      <w:r>
        <w:t>Results</w:t>
      </w:r>
    </w:p>
    <w:p w:rsidR="00533155" w:rsidRDefault="00533155" w:rsidP="00533155"/>
    <w:p w:rsidR="00533155" w:rsidRDefault="00533155" w:rsidP="00533155"/>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tc>
      </w:tr>
      <w:tr w:rsidR="00533155" w:rsidTr="002A7F06">
        <w:tc>
          <w:tcPr>
            <w:tcW w:w="8494" w:type="dxa"/>
          </w:tcPr>
          <w:p w:rsidR="00533155" w:rsidRDefault="00533155" w:rsidP="002A7F06">
            <w:r>
              <w:rPr>
                <w:noProof/>
                <w:lang w:eastAsia="en-GB"/>
              </w:rPr>
              <w:lastRenderedPageBreak/>
              <w:drawing>
                <wp:inline distT="0" distB="0" distL="0" distR="0" wp14:anchorId="36E7DBA3" wp14:editId="77E1CC63">
                  <wp:extent cx="5400040" cy="379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790950"/>
                          </a:xfrm>
                          <a:prstGeom prst="rect">
                            <a:avLst/>
                          </a:prstGeom>
                        </pic:spPr>
                      </pic:pic>
                    </a:graphicData>
                  </a:graphic>
                </wp:inline>
              </w:drawing>
            </w:r>
          </w:p>
        </w:tc>
      </w:tr>
      <w:tr w:rsidR="00533155" w:rsidTr="002A7F06">
        <w:tc>
          <w:tcPr>
            <w:tcW w:w="8494" w:type="dxa"/>
          </w:tcPr>
          <w:p w:rsidR="00533155" w:rsidRDefault="00533155" w:rsidP="002A7F06"/>
        </w:tc>
      </w:tr>
    </w:tbl>
    <w:p w:rsidR="00533155" w:rsidRDefault="00533155" w:rsidP="00533155"/>
    <w:p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jc w:val="both"/>
            </w:pPr>
          </w:p>
        </w:tc>
      </w:tr>
      <w:tr w:rsidR="00533155" w:rsidTr="002A7F06">
        <w:tc>
          <w:tcPr>
            <w:tcW w:w="8494" w:type="dxa"/>
          </w:tcPr>
          <w:p w:rsidR="00533155" w:rsidRDefault="00533155" w:rsidP="002A7F06">
            <w:pPr>
              <w:jc w:val="both"/>
            </w:pPr>
            <w:r>
              <w:rPr>
                <w:noProof/>
                <w:lang w:eastAsia="en-GB"/>
              </w:rPr>
              <w:lastRenderedPageBreak/>
              <w:drawing>
                <wp:inline distT="0" distB="0" distL="0" distR="0" wp14:anchorId="2C6AD971" wp14:editId="1A24980C">
                  <wp:extent cx="5400040" cy="3640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40455"/>
                          </a:xfrm>
                          <a:prstGeom prst="rect">
                            <a:avLst/>
                          </a:prstGeom>
                        </pic:spPr>
                      </pic:pic>
                    </a:graphicData>
                  </a:graphic>
                </wp:inline>
              </w:drawing>
            </w:r>
          </w:p>
        </w:tc>
      </w:tr>
      <w:tr w:rsidR="00533155" w:rsidTr="002A7F06">
        <w:tc>
          <w:tcPr>
            <w:tcW w:w="8494" w:type="dxa"/>
          </w:tcPr>
          <w:p w:rsidR="00533155" w:rsidRDefault="00533155" w:rsidP="002A7F06">
            <w:pPr>
              <w:jc w:val="both"/>
            </w:pPr>
          </w:p>
        </w:tc>
      </w:tr>
    </w:tbl>
    <w:p w:rsidR="00533155" w:rsidRDefault="00533155" w:rsidP="00533155">
      <w:pPr>
        <w:jc w:val="both"/>
      </w:pPr>
    </w:p>
    <w:p w:rsidR="00533155" w:rsidRDefault="00533155" w:rsidP="00533155">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533155" w:rsidRPr="00F5041C" w:rsidRDefault="00533155" w:rsidP="00533155">
      <w:pPr>
        <w:spacing w:after="0" w:line="240" w:lineRule="auto"/>
      </w:pPr>
      <w:r w:rsidRPr="00F5041C">
        <w:t>By plotting the clusters as well as the Moran’s I high-high wards, it becomes possible to see the spatial trends of gigs of particular genres. These can then be viewed as musical communities forming/being formed. </w:t>
      </w:r>
    </w:p>
    <w:p w:rsidR="00533155" w:rsidRPr="00F5041C" w:rsidRDefault="00533155" w:rsidP="00533155">
      <w:pPr>
        <w:spacing w:after="0" w:line="240" w:lineRule="auto"/>
      </w:pPr>
    </w:p>
    <w:p w:rsidR="00533155" w:rsidRPr="00F5041C" w:rsidRDefault="00533155" w:rsidP="00533155">
      <w:pPr>
        <w:spacing w:after="0" w:line="240" w:lineRule="auto"/>
      </w:pPr>
      <w:r w:rsidRPr="00F5041C">
        <w:t>See the plots below:</w:t>
      </w: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jc w:val="both"/>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jc w:val="both"/>
            </w:pPr>
            <w:r>
              <w:t>classical</w:t>
            </w:r>
          </w:p>
        </w:tc>
      </w:tr>
      <w:tr w:rsidR="00533155" w:rsidTr="002A7F06">
        <w:tc>
          <w:tcPr>
            <w:tcW w:w="8494" w:type="dxa"/>
          </w:tcPr>
          <w:p w:rsidR="00533155" w:rsidRDefault="00533155" w:rsidP="002A7F06">
            <w:pPr>
              <w:jc w:val="both"/>
            </w:pPr>
            <w:r w:rsidRPr="007810B1">
              <w:rPr>
                <w:rFonts w:ascii="Times New Roman" w:eastAsia="Times New Roman" w:hAnsi="Times New Roman" w:cs="Times New Roman"/>
                <w:noProof/>
                <w:sz w:val="24"/>
                <w:szCs w:val="24"/>
                <w:lang w:eastAsia="en-GB"/>
              </w:rPr>
              <w:lastRenderedPageBreak/>
              <w:drawing>
                <wp:inline distT="0" distB="0" distL="0" distR="0" wp14:anchorId="08E9CF97" wp14:editId="0CCD956C">
                  <wp:extent cx="4897803" cy="2297861"/>
                  <wp:effectExtent l="0" t="0" r="0" b="762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7803" cy="2297861"/>
                          </a:xfrm>
                          <a:prstGeom prst="rect">
                            <a:avLst/>
                          </a:prstGeom>
                          <a:noFill/>
                          <a:ln>
                            <a:noFill/>
                          </a:ln>
                        </pic:spPr>
                      </pic:pic>
                    </a:graphicData>
                  </a:graphic>
                </wp:inline>
              </w:drawing>
            </w:r>
          </w:p>
        </w:tc>
      </w:tr>
      <w:tr w:rsidR="00533155" w:rsidTr="002A7F06">
        <w:tc>
          <w:tcPr>
            <w:tcW w:w="8494" w:type="dxa"/>
          </w:tcPr>
          <w:p w:rsidR="00533155" w:rsidRDefault="00533155" w:rsidP="002A7F06">
            <w:pPr>
              <w:jc w:val="both"/>
            </w:pPr>
          </w:p>
        </w:tc>
      </w:tr>
    </w:tbl>
    <w:p w:rsidR="00533155" w:rsidRDefault="00533155" w:rsidP="00533155">
      <w:pPr>
        <w:spacing w:before="100" w:beforeAutospacing="1" w:after="100" w:afterAutospacing="1" w:line="240" w:lineRule="auto"/>
      </w:pPr>
      <w:r w:rsidRPr="007810B1">
        <w:t xml:space="preserve">Here the gigs are all very centrally located. The DBSCAN clustering picks out clusters in the West End, many gigs at a single venue on the Southbank, a few around Kings Cross, the City of London and in Camden. These are well correlated with the Moran’s I highlighting of wards. Due to the relatively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though not many in South London.</w:t>
      </w: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45EA013D" wp14:editId="3D3E530F">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Pr="007810B1" w:rsidRDefault="00533155" w:rsidP="00533155">
      <w:pPr>
        <w:spacing w:before="100" w:beforeAutospacing="1" w:after="100" w:afterAutospacing="1" w:line="240" w:lineRule="auto"/>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before="100" w:beforeAutospacing="1" w:after="100" w:afterAutospacing="1" w:line="240" w:lineRule="auto"/>
      </w:pPr>
      <w:r w:rsidRPr="007810B1">
        <w:t xml:space="preserve">Folk gigs are shown to be very prevalent with many spread over many different areas of </w:t>
      </w:r>
      <w:proofErr w:type="spellStart"/>
      <w:proofErr w:type="gramStart"/>
      <w:r w:rsidRPr="007810B1">
        <w:t>london</w:t>
      </w:r>
      <w:proofErr w:type="spellEnd"/>
      <w:proofErr w:type="gramEnd"/>
      <w:r w:rsidRPr="007810B1">
        <w:t>. Lots of distinct clusters form in North London, especially to the east. Interestingly Moran’s I does not pick out the large cluster around Mayfair, this is due to the large gap of any gigs between this cluster and further west.</w:t>
      </w:r>
    </w:p>
    <w:p w:rsidR="00533155" w:rsidRDefault="00533155" w:rsidP="00533155">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1B052E62" wp14:editId="30D12777">
                  <wp:extent cx="5196005" cy="2444635"/>
                  <wp:effectExtent l="0" t="0" r="508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9641" cy="2451050"/>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before="100" w:beforeAutospacing="1" w:after="100" w:afterAutospacing="1" w:line="240" w:lineRule="auto"/>
      </w:pPr>
      <w:r w:rsidRPr="007810B1">
        <w:t>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[THIS IS BULLSHIT].</w:t>
      </w:r>
    </w:p>
    <w:p w:rsidR="00533155" w:rsidRPr="007810B1" w:rsidRDefault="00533155" w:rsidP="00533155">
      <w:pPr>
        <w:spacing w:before="100" w:beforeAutospacing="1" w:after="100" w:afterAutospacing="1" w:line="240" w:lineRule="auto"/>
      </w:pPr>
    </w:p>
    <w:p w:rsidR="00533155" w:rsidRPr="007810B1" w:rsidRDefault="00533155" w:rsidP="00533155">
      <w:pPr>
        <w:spacing w:before="100" w:beforeAutospacing="1" w:after="100" w:afterAutospacing="1" w:line="240" w:lineRule="auto"/>
      </w:pPr>
      <w:r w:rsidRPr="007810B1">
        <w:t>Interestingly Moran’s I highlights wards far out from the centre of London without many gigs in them [WHAT DOES THIS MEAN?]</w:t>
      </w: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62E3CD1B" wp14:editId="58406C95">
                  <wp:extent cx="4844667" cy="2272931"/>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0962" cy="2280576"/>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Default="00533155" w:rsidP="00533155">
      <w:pPr>
        <w:spacing w:before="100" w:beforeAutospacing="1" w:after="100" w:afterAutospacing="1" w:line="240" w:lineRule="auto"/>
      </w:pPr>
    </w:p>
    <w:p w:rsidR="00533155" w:rsidRDefault="00533155" w:rsidP="00533155">
      <w:pPr>
        <w:spacing w:before="100" w:beforeAutospacing="1" w:after="100" w:afterAutospacing="1" w:line="240" w:lineRule="auto"/>
      </w:pPr>
    </w:p>
    <w:p w:rsidR="00533155" w:rsidRDefault="00533155" w:rsidP="00533155">
      <w:pPr>
        <w:spacing w:before="100" w:beforeAutospacing="1" w:after="100" w:afterAutospacing="1" w:line="240" w:lineRule="auto"/>
      </w:pPr>
    </w:p>
    <w:p w:rsidR="00533155" w:rsidRPr="007810B1" w:rsidRDefault="00533155" w:rsidP="00533155">
      <w:pPr>
        <w:spacing w:before="100" w:beforeAutospacing="1" w:after="100" w:afterAutospacing="1" w:line="240" w:lineRule="auto"/>
      </w:pPr>
      <w:r w:rsidRPr="007810B1">
        <w:t>Jazz gigs are highly clustered, with distinct clusters far from one another. Moran’s I also represents this disparate clustering, though highlighting some other areas.</w:t>
      </w:r>
    </w:p>
    <w:p w:rsidR="00533155" w:rsidRDefault="00533155" w:rsidP="00533155">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F5041C">
              <w:drawing>
                <wp:inline distT="0" distB="0" distL="0" distR="0" wp14:anchorId="3A927FEC" wp14:editId="21425AE0">
                  <wp:extent cx="4597111" cy="2150991"/>
                  <wp:effectExtent l="0" t="0" r="0" b="1905"/>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8281" cy="2156218"/>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before="100" w:beforeAutospacing="1" w:after="100" w:afterAutospacing="1" w:line="240" w:lineRule="auto"/>
      </w:pPr>
    </w:p>
    <w:p w:rsidR="00533155" w:rsidRPr="007810B1" w:rsidRDefault="00533155" w:rsidP="00533155">
      <w:pPr>
        <w:spacing w:before="100" w:beforeAutospacing="1" w:after="100" w:afterAutospacing="1" w:line="240" w:lineRule="auto"/>
      </w:pPr>
      <w:r w:rsidRPr="007810B1">
        <w:t>Punk gigs form many distinct clusters in North London, especially in the east.</w:t>
      </w:r>
    </w:p>
    <w:p w:rsidR="00533155" w:rsidRDefault="00533155" w:rsidP="00533155">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09A50A8F" wp14:editId="1B92D8DB">
                  <wp:extent cx="5163820" cy="2436582"/>
                  <wp:effectExtent l="0" t="0" r="0" b="1905"/>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3705" cy="2450684"/>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Default="00533155" w:rsidP="00533155">
      <w:pPr>
        <w:spacing w:after="0" w:line="240" w:lineRule="auto"/>
        <w:rPr>
          <w:rFonts w:ascii="Times New Roman" w:eastAsia="Times New Roman" w:hAnsi="Times New Roman" w:cs="Times New Roman"/>
          <w:sz w:val="24"/>
          <w:szCs w:val="24"/>
          <w:lang w:eastAsia="en-GB"/>
        </w:rPr>
      </w:pPr>
    </w:p>
    <w:p w:rsidR="00533155"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Default="00533155" w:rsidP="00533155">
      <w:pPr>
        <w:spacing w:before="100" w:beforeAutospacing="1" w:after="100" w:afterAutospacing="1" w:line="240" w:lineRule="auto"/>
      </w:pPr>
      <w:r w:rsidRPr="007810B1">
        <w:lastRenderedPageBreak/>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533155" w:rsidRDefault="00533155" w:rsidP="00533155">
      <w:pPr>
        <w:spacing w:before="100" w:beforeAutospacing="1" w:after="100" w:afterAutospacing="1" w:line="240" w:lineRule="auto"/>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6B961948" wp14:editId="7854C32F">
                  <wp:extent cx="5289394"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6883" cy="2485093"/>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Pr="007810B1" w:rsidRDefault="00533155" w:rsidP="00533155">
      <w:pPr>
        <w:spacing w:before="100" w:beforeAutospacing="1" w:after="100" w:afterAutospacing="1" w:line="240" w:lineRule="auto"/>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Default="00533155" w:rsidP="00533155">
      <w:pPr>
        <w:spacing w:before="100" w:beforeAutospacing="1" w:after="100" w:afterAutospacing="1" w:line="240" w:lineRule="auto"/>
      </w:pPr>
      <w:r w:rsidRPr="007810B1">
        <w:t>Soul shows a very large amount of gigs with the majority of clusters in north and central London. Moran’s I highlights wards that correlate very well with the larger gig clusters.</w:t>
      </w:r>
    </w:p>
    <w:p w:rsidR="00533155" w:rsidRDefault="00533155" w:rsidP="00533155">
      <w:pPr>
        <w:spacing w:before="100" w:beforeAutospacing="1" w:after="100" w:afterAutospacing="1" w:line="240" w:lineRule="auto"/>
      </w:pPr>
    </w:p>
    <w:tbl>
      <w:tblPr>
        <w:tblStyle w:val="TableGrid"/>
        <w:tblW w:w="0" w:type="auto"/>
        <w:tblLook w:val="04A0" w:firstRow="1" w:lastRow="0" w:firstColumn="1" w:lastColumn="0" w:noHBand="0" w:noVBand="1"/>
      </w:tblPr>
      <w:tblGrid>
        <w:gridCol w:w="8494"/>
      </w:tblGrid>
      <w:tr w:rsidR="00533155" w:rsidTr="002A7F06">
        <w:tc>
          <w:tcPr>
            <w:tcW w:w="8494" w:type="dxa"/>
          </w:tcPr>
          <w:p w:rsidR="00533155" w:rsidRDefault="00533155" w:rsidP="002A7F06">
            <w:pPr>
              <w:spacing w:before="100" w:beforeAutospacing="1" w:after="100" w:afterAutospacing="1"/>
            </w:pPr>
          </w:p>
        </w:tc>
      </w:tr>
      <w:tr w:rsidR="00533155" w:rsidTr="002A7F06">
        <w:tc>
          <w:tcPr>
            <w:tcW w:w="8494" w:type="dxa"/>
          </w:tcPr>
          <w:p w:rsidR="00533155" w:rsidRDefault="00533155"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66D0CECB" wp14:editId="739A3129">
                  <wp:extent cx="4973472" cy="2339937"/>
                  <wp:effectExtent l="0" t="0" r="0" b="3810"/>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90484" cy="2347941"/>
                          </a:xfrm>
                          <a:prstGeom prst="rect">
                            <a:avLst/>
                          </a:prstGeom>
                          <a:noFill/>
                          <a:ln>
                            <a:noFill/>
                          </a:ln>
                        </pic:spPr>
                      </pic:pic>
                    </a:graphicData>
                  </a:graphic>
                </wp:inline>
              </w:drawing>
            </w:r>
          </w:p>
        </w:tc>
      </w:tr>
      <w:tr w:rsidR="00533155" w:rsidTr="002A7F06">
        <w:tc>
          <w:tcPr>
            <w:tcW w:w="8494" w:type="dxa"/>
          </w:tcPr>
          <w:p w:rsidR="00533155" w:rsidRDefault="00533155" w:rsidP="002A7F06">
            <w:pPr>
              <w:spacing w:before="100" w:beforeAutospacing="1" w:after="100" w:afterAutospacing="1"/>
            </w:pPr>
          </w:p>
        </w:tc>
      </w:tr>
    </w:tbl>
    <w:p w:rsidR="00533155" w:rsidRDefault="00533155" w:rsidP="00533155">
      <w:pPr>
        <w:spacing w:before="100" w:beforeAutospacing="1" w:after="100" w:afterAutospacing="1" w:line="240" w:lineRule="auto"/>
      </w:pPr>
    </w:p>
    <w:p w:rsidR="00533155" w:rsidRDefault="00533155" w:rsidP="00533155">
      <w:pPr>
        <w:spacing w:before="100" w:beforeAutospacing="1" w:after="100" w:afterAutospacing="1" w:line="240" w:lineRule="auto"/>
      </w:pPr>
    </w:p>
    <w:p w:rsidR="00533155" w:rsidRPr="007810B1" w:rsidRDefault="00533155" w:rsidP="00533155">
      <w:pPr>
        <w:spacing w:before="100" w:beforeAutospacing="1" w:after="100" w:afterAutospacing="1" w:line="240" w:lineRule="auto"/>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after="0" w:line="240" w:lineRule="auto"/>
        <w:rPr>
          <w:rFonts w:ascii="Times New Roman" w:eastAsia="Times New Roman" w:hAnsi="Times New Roman" w:cs="Times New Roman"/>
          <w:sz w:val="24"/>
          <w:szCs w:val="24"/>
          <w:lang w:eastAsia="en-GB"/>
        </w:rPr>
      </w:pPr>
    </w:p>
    <w:p w:rsidR="00533155" w:rsidRPr="007810B1" w:rsidRDefault="00533155" w:rsidP="00533155">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Bibliography</w:t>
      </w:r>
    </w:p>
    <w:p w:rsidR="00533155" w:rsidRDefault="00533155" w:rsidP="00533155"/>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Appendix</w:t>
      </w:r>
    </w:p>
    <w:p w:rsidR="00533155" w:rsidRDefault="00533155" w:rsidP="00533155"/>
    <w:p w:rsidR="00533155" w:rsidRPr="00533155" w:rsidRDefault="00533155" w:rsidP="00533155"/>
    <w:sectPr w:rsidR="00533155" w:rsidRP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12099F"/>
    <w:rsid w:val="00160E0A"/>
    <w:rsid w:val="00186FD7"/>
    <w:rsid w:val="001A57D4"/>
    <w:rsid w:val="002643FA"/>
    <w:rsid w:val="003E551D"/>
    <w:rsid w:val="004E7513"/>
    <w:rsid w:val="00533155"/>
    <w:rsid w:val="005C60E8"/>
    <w:rsid w:val="0081431F"/>
    <w:rsid w:val="00A35704"/>
    <w:rsid w:val="00B849C0"/>
    <w:rsid w:val="00CF0E43"/>
    <w:rsid w:val="00DC56DC"/>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3E55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38F2E-122A-4F23-8A4D-E69823651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13</Pages>
  <Words>2528</Words>
  <Characters>14410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1</cp:revision>
  <dcterms:created xsi:type="dcterms:W3CDTF">2018-05-23T10:10:00Z</dcterms:created>
  <dcterms:modified xsi:type="dcterms:W3CDTF">2018-05-23T12:22:00Z</dcterms:modified>
</cp:coreProperties>
</file>